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85" w:rsidRDefault="00E66185" w:rsidP="00E6618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 земельном налоге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СОБРАНИЕ ДЕПУТАТОВ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ЛЮБИМОВСКОГО СЕЛЬСОВЕТА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БОЛЬШЕСОЛДАТСКОГО РАЙОНА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РЕШЕНИЕ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  <w:u w:val="single"/>
        </w:rPr>
        <w:t>от 28 октября 2019г. №122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       с.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Любимовка</w:t>
      </w:r>
      <w:proofErr w:type="spellEnd"/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 земельном налоге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РЕШИЛО: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</w:t>
      </w: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Любимовский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Курской области.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Установить налоговые ставки в процентах от налоговой базы, в размерах: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1) 0,3 процента в отношении земельных участков: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занятых </w:t>
      </w:r>
      <w:hyperlink r:id="rId5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жилищным фондом</w:t>
        </w:r>
      </w:hyperlink>
      <w:r>
        <w:rPr>
          <w:rFonts w:ascii="Tahoma" w:hAnsi="Tahoma" w:cs="Tahoma"/>
          <w:color w:val="000000"/>
          <w:sz w:val="23"/>
          <w:szCs w:val="23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23"/>
          <w:szCs w:val="23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23"/>
          <w:szCs w:val="23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ограниченных в обороте в соответствии с </w:t>
      </w:r>
      <w:hyperlink r:id="rId8" w:history="1">
        <w:r>
          <w:rPr>
            <w:rStyle w:val="a5"/>
            <w:rFonts w:ascii="Tahoma" w:hAnsi="Tahoma" w:cs="Tahoma"/>
            <w:color w:val="33A6E3"/>
            <w:sz w:val="23"/>
            <w:szCs w:val="23"/>
            <w:u w:val="none"/>
          </w:rPr>
          <w:t>законодательством</w:t>
        </w:r>
      </w:hyperlink>
      <w:r>
        <w:rPr>
          <w:rFonts w:ascii="Tahoma" w:hAnsi="Tahoma" w:cs="Tahoma"/>
          <w:color w:val="000000"/>
          <w:sz w:val="23"/>
          <w:szCs w:val="23"/>
        </w:rPr>
        <w:t> Российской Федерации, предоставленных для обеспечения обороны, безопасности и таможенных нужд;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2) 1,5 процента в отношении прочих земельных участков.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6. Признать утратившими силу решение Собрания депутатов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 от 29 августа 2019 года №114.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7.</w:t>
      </w: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Настоящее Решение</w:t>
      </w: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 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8. Положения пунктов 4 и 5 настоящего Решения применяются до 31 декабря 2020 года.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Председатель Собрания депутатов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Жигулин</w:t>
      </w:r>
      <w:proofErr w:type="spellEnd"/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Любимовского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сельсовета</w:t>
      </w:r>
    </w:p>
    <w:p w:rsidR="00E66185" w:rsidRDefault="00E66185" w:rsidP="00E661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района                                                          С.С. Кожевников</w:t>
      </w:r>
    </w:p>
    <w:p w:rsidR="00D54D52" w:rsidRPr="00E66185" w:rsidRDefault="00D54D52" w:rsidP="00E66185"/>
    <w:sectPr w:rsidR="00D54D52" w:rsidRPr="00E6618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947764"/>
    <w:rsid w:val="00967E7E"/>
    <w:rsid w:val="009C75BB"/>
    <w:rsid w:val="00A445A9"/>
    <w:rsid w:val="00D54D52"/>
    <w:rsid w:val="00E441E7"/>
    <w:rsid w:val="00E66185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587</Words>
  <Characters>3350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2024-12-23T08:50:00Z</dcterms:created>
  <dcterms:modified xsi:type="dcterms:W3CDTF">2024-12-23T09:52:00Z</dcterms:modified>
</cp:coreProperties>
</file>